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511"/>
        <w:gridCol w:w="6412"/>
      </w:tblGrid>
      <w:tr w:rsidR="00B221E8" w:rsidRPr="00B221E8" w:rsidTr="00B221E8">
        <w:trPr>
          <w:tblCellSpacing w:w="0" w:type="dxa"/>
        </w:trPr>
        <w:tc>
          <w:tcPr>
            <w:tcW w:w="3511" w:type="dxa"/>
            <w:shd w:val="clear" w:color="auto" w:fill="FFFFFF"/>
            <w:tcMar>
              <w:top w:w="0" w:type="dxa"/>
              <w:left w:w="108" w:type="dxa"/>
              <w:bottom w:w="0" w:type="dxa"/>
              <w:right w:w="108" w:type="dxa"/>
            </w:tcMar>
            <w:hideMark/>
          </w:tcPr>
          <w:p w:rsidR="00B221E8" w:rsidRPr="00B221E8" w:rsidRDefault="00B221E8" w:rsidP="00B221E8">
            <w:pPr>
              <w:pStyle w:val="NoSpacing"/>
              <w:spacing w:line="276" w:lineRule="auto"/>
              <w:jc w:val="center"/>
              <w:rPr>
                <w:b/>
                <w:sz w:val="28"/>
                <w:szCs w:val="28"/>
              </w:rPr>
            </w:pPr>
            <w:r w:rsidRPr="00B221E8">
              <w:rPr>
                <w:b/>
                <w:sz w:val="28"/>
                <w:szCs w:val="28"/>
              </w:rPr>
              <w:t>CHÍNH PHỦ</w:t>
            </w:r>
            <w:r w:rsidRPr="00B221E8">
              <w:rPr>
                <w:b/>
                <w:sz w:val="28"/>
                <w:szCs w:val="28"/>
              </w:rPr>
              <w:br/>
              <w:t>-------</w:t>
            </w:r>
          </w:p>
        </w:tc>
        <w:tc>
          <w:tcPr>
            <w:tcW w:w="6412" w:type="dxa"/>
            <w:shd w:val="clear" w:color="auto" w:fill="FFFFFF"/>
            <w:tcMar>
              <w:top w:w="0" w:type="dxa"/>
              <w:left w:w="108" w:type="dxa"/>
              <w:bottom w:w="0" w:type="dxa"/>
              <w:right w:w="108" w:type="dxa"/>
            </w:tcMar>
            <w:hideMark/>
          </w:tcPr>
          <w:p w:rsidR="00B221E8" w:rsidRPr="00B221E8" w:rsidRDefault="00B221E8" w:rsidP="00B221E8">
            <w:pPr>
              <w:pStyle w:val="NoSpacing"/>
              <w:spacing w:line="276" w:lineRule="auto"/>
              <w:jc w:val="center"/>
              <w:rPr>
                <w:b/>
                <w:sz w:val="28"/>
                <w:szCs w:val="28"/>
              </w:rPr>
            </w:pPr>
            <w:r w:rsidRPr="00B221E8">
              <w:rPr>
                <w:b/>
                <w:sz w:val="28"/>
                <w:szCs w:val="28"/>
              </w:rPr>
              <w:t>CỘNG HÒA XÃ HỘI CHỦ NGHĨA VIỆT NAM</w:t>
            </w:r>
            <w:r w:rsidRPr="00B221E8">
              <w:rPr>
                <w:b/>
                <w:sz w:val="28"/>
                <w:szCs w:val="28"/>
              </w:rPr>
              <w:br/>
              <w:t>Độc lập - Tự do - Hạnh phúc</w:t>
            </w:r>
            <w:r w:rsidRPr="00B221E8">
              <w:rPr>
                <w:b/>
                <w:sz w:val="28"/>
                <w:szCs w:val="28"/>
              </w:rPr>
              <w:br/>
              <w:t>---------------</w:t>
            </w:r>
          </w:p>
        </w:tc>
      </w:tr>
      <w:tr w:rsidR="00B221E8" w:rsidRPr="00B221E8" w:rsidTr="00B221E8">
        <w:trPr>
          <w:tblCellSpacing w:w="0" w:type="dxa"/>
        </w:trPr>
        <w:tc>
          <w:tcPr>
            <w:tcW w:w="3511" w:type="dxa"/>
            <w:shd w:val="clear" w:color="auto" w:fill="FFFFFF"/>
            <w:tcMar>
              <w:top w:w="0" w:type="dxa"/>
              <w:left w:w="108" w:type="dxa"/>
              <w:bottom w:w="0" w:type="dxa"/>
              <w:right w:w="108" w:type="dxa"/>
            </w:tcMar>
            <w:hideMark/>
          </w:tcPr>
          <w:p w:rsidR="00B221E8" w:rsidRPr="00B221E8" w:rsidRDefault="00B221E8" w:rsidP="00B221E8">
            <w:pPr>
              <w:pStyle w:val="NoSpacing"/>
              <w:spacing w:line="276" w:lineRule="auto"/>
              <w:jc w:val="center"/>
              <w:rPr>
                <w:b/>
                <w:sz w:val="28"/>
                <w:szCs w:val="28"/>
              </w:rPr>
            </w:pPr>
            <w:r w:rsidRPr="00B221E8">
              <w:rPr>
                <w:b/>
                <w:sz w:val="28"/>
                <w:szCs w:val="28"/>
              </w:rPr>
              <w:t>Số: 74/2024/NĐ-CP</w:t>
            </w:r>
          </w:p>
        </w:tc>
        <w:tc>
          <w:tcPr>
            <w:tcW w:w="6412" w:type="dxa"/>
            <w:shd w:val="clear" w:color="auto" w:fill="FFFFFF"/>
            <w:tcMar>
              <w:top w:w="0" w:type="dxa"/>
              <w:left w:w="108" w:type="dxa"/>
              <w:bottom w:w="0" w:type="dxa"/>
              <w:right w:w="108" w:type="dxa"/>
            </w:tcMar>
            <w:hideMark/>
          </w:tcPr>
          <w:p w:rsidR="00B221E8" w:rsidRPr="00B221E8" w:rsidRDefault="00B221E8" w:rsidP="00B221E8">
            <w:pPr>
              <w:pStyle w:val="NoSpacing"/>
              <w:spacing w:line="276" w:lineRule="auto"/>
              <w:jc w:val="right"/>
              <w:rPr>
                <w:sz w:val="28"/>
                <w:szCs w:val="28"/>
              </w:rPr>
            </w:pPr>
            <w:r w:rsidRPr="00B221E8">
              <w:rPr>
                <w:i/>
                <w:iCs/>
                <w:sz w:val="28"/>
                <w:szCs w:val="28"/>
              </w:rPr>
              <w:t>Hà Nội, ngày 30 tháng 6 năm 2024</w:t>
            </w:r>
          </w:p>
        </w:tc>
      </w:tr>
    </w:tbl>
    <w:p w:rsidR="00B221E8" w:rsidRDefault="00B221E8" w:rsidP="00B221E8">
      <w:pPr>
        <w:pStyle w:val="NoSpacing"/>
        <w:spacing w:line="276" w:lineRule="auto"/>
        <w:jc w:val="center"/>
        <w:rPr>
          <w:b/>
          <w:sz w:val="28"/>
          <w:szCs w:val="28"/>
        </w:rPr>
      </w:pPr>
      <w:bookmarkStart w:id="0" w:name="loai_1"/>
    </w:p>
    <w:p w:rsidR="00B221E8" w:rsidRPr="00B221E8" w:rsidRDefault="00B221E8" w:rsidP="00B221E8">
      <w:pPr>
        <w:pStyle w:val="NoSpacing"/>
        <w:spacing w:line="276" w:lineRule="auto"/>
        <w:jc w:val="center"/>
        <w:rPr>
          <w:b/>
          <w:sz w:val="28"/>
          <w:szCs w:val="28"/>
        </w:rPr>
      </w:pPr>
      <w:r w:rsidRPr="00B221E8">
        <w:rPr>
          <w:b/>
          <w:sz w:val="28"/>
          <w:szCs w:val="28"/>
        </w:rPr>
        <w:t>NGHỊ ĐỊNH</w:t>
      </w:r>
      <w:bookmarkEnd w:id="0"/>
    </w:p>
    <w:p w:rsidR="00B221E8" w:rsidRDefault="00B221E8" w:rsidP="00B221E8">
      <w:pPr>
        <w:pStyle w:val="NoSpacing"/>
        <w:spacing w:line="276" w:lineRule="auto"/>
        <w:jc w:val="center"/>
        <w:rPr>
          <w:b/>
          <w:sz w:val="28"/>
          <w:szCs w:val="28"/>
        </w:rPr>
      </w:pPr>
      <w:bookmarkStart w:id="1" w:name="loai_1_name"/>
      <w:r w:rsidRPr="00B221E8">
        <w:rPr>
          <w:b/>
          <w:sz w:val="28"/>
          <w:szCs w:val="28"/>
        </w:rPr>
        <w:t>QUY ĐỊNH MỨC LƯƠNG TỐI THIỂU ĐỐI VỚI NGƯỜI LAO ĐỘNG LÀM VIỆC THEO HỢP ĐỒNG LAO ĐỘNG</w:t>
      </w:r>
      <w:bookmarkEnd w:id="1"/>
    </w:p>
    <w:p w:rsidR="00B221E8" w:rsidRPr="00B221E8" w:rsidRDefault="00B221E8" w:rsidP="00B221E8">
      <w:pPr>
        <w:pStyle w:val="NoSpacing"/>
        <w:spacing w:line="276" w:lineRule="auto"/>
        <w:jc w:val="center"/>
        <w:rPr>
          <w:b/>
          <w:sz w:val="28"/>
          <w:szCs w:val="28"/>
        </w:rPr>
      </w:pPr>
    </w:p>
    <w:p w:rsidR="00B221E8" w:rsidRPr="00B221E8" w:rsidRDefault="00B221E8" w:rsidP="00B221E8">
      <w:pPr>
        <w:pStyle w:val="NoSpacing"/>
        <w:spacing w:line="276" w:lineRule="auto"/>
        <w:ind w:firstLine="720"/>
        <w:jc w:val="both"/>
        <w:rPr>
          <w:sz w:val="28"/>
          <w:szCs w:val="28"/>
        </w:rPr>
      </w:pPr>
      <w:r w:rsidRPr="00B221E8">
        <w:rPr>
          <w:i/>
          <w:iCs/>
          <w:sz w:val="28"/>
          <w:szCs w:val="28"/>
          <w:lang w:val="nl-NL"/>
        </w:rPr>
        <w:t>Căn cứ </w:t>
      </w:r>
      <w:bookmarkStart w:id="2" w:name="tvpllink_jofmpsyqcp"/>
      <w:r w:rsidRPr="00B221E8">
        <w:rPr>
          <w:i/>
          <w:iCs/>
          <w:sz w:val="28"/>
          <w:szCs w:val="28"/>
          <w:lang w:val="nl-NL"/>
        </w:rPr>
        <w:fldChar w:fldCharType="begin"/>
      </w:r>
      <w:r w:rsidRPr="00B221E8">
        <w:rPr>
          <w:i/>
          <w:iCs/>
          <w:sz w:val="28"/>
          <w:szCs w:val="28"/>
          <w:lang w:val="nl-NL"/>
        </w:rPr>
        <w:instrText xml:space="preserve"> HYPERLINK "https://thuvienphapluat.vn/van-ban/Bo-may-hanh-chinh/Luat-to-chuc-Chinh-phu-2015-282379.aspx" \t "_blank" </w:instrText>
      </w:r>
      <w:r w:rsidRPr="00B221E8">
        <w:rPr>
          <w:i/>
          <w:iCs/>
          <w:sz w:val="28"/>
          <w:szCs w:val="28"/>
          <w:lang w:val="nl-NL"/>
        </w:rPr>
        <w:fldChar w:fldCharType="separate"/>
      </w:r>
      <w:r w:rsidRPr="00B221E8">
        <w:rPr>
          <w:i/>
          <w:iCs/>
          <w:color w:val="0E70C3"/>
          <w:sz w:val="28"/>
          <w:szCs w:val="28"/>
          <w:u w:val="single"/>
          <w:lang w:val="nl-NL"/>
        </w:rPr>
        <w:t>Luật Tổ chức Chính phủ</w:t>
      </w:r>
      <w:r w:rsidRPr="00B221E8">
        <w:rPr>
          <w:i/>
          <w:iCs/>
          <w:sz w:val="28"/>
          <w:szCs w:val="28"/>
          <w:lang w:val="nl-NL"/>
        </w:rPr>
        <w:fldChar w:fldCharType="end"/>
      </w:r>
      <w:bookmarkEnd w:id="2"/>
      <w:r w:rsidRPr="00B221E8">
        <w:rPr>
          <w:i/>
          <w:iCs/>
          <w:sz w:val="28"/>
          <w:szCs w:val="28"/>
          <w:lang w:val="nl-NL"/>
        </w:rPr>
        <w:t> ngày 19 tháng 6 năm 2015; </w:t>
      </w:r>
      <w:bookmarkStart w:id="3" w:name="tvpllink_cdgudmonqm"/>
      <w:r w:rsidRPr="00B221E8">
        <w:rPr>
          <w:i/>
          <w:iCs/>
          <w:sz w:val="28"/>
          <w:szCs w:val="28"/>
          <w:lang w:val="nl-NL"/>
        </w:rPr>
        <w:fldChar w:fldCharType="begin"/>
      </w:r>
      <w:r w:rsidRPr="00B221E8">
        <w:rPr>
          <w:i/>
          <w:iCs/>
          <w:sz w:val="28"/>
          <w:szCs w:val="28"/>
          <w:lang w:val="nl-NL"/>
        </w:rPr>
        <w:instrText xml:space="preserve"> HYPERLINK "https://thuvienphapluat.vn/van-ban/Bo-may-hanh-chinh/Luat-To-chuc-chinh-phu-va-Luat-To-chuc-chinh-quyen-dia-phuong-sua-doi-2019-411945.aspx" \t "_blank" </w:instrText>
      </w:r>
      <w:r w:rsidRPr="00B221E8">
        <w:rPr>
          <w:i/>
          <w:iCs/>
          <w:sz w:val="28"/>
          <w:szCs w:val="28"/>
          <w:lang w:val="nl-NL"/>
        </w:rPr>
        <w:fldChar w:fldCharType="separate"/>
      </w:r>
      <w:r w:rsidRPr="00B221E8">
        <w:rPr>
          <w:i/>
          <w:iCs/>
          <w:color w:val="0E70C3"/>
          <w:sz w:val="28"/>
          <w:szCs w:val="28"/>
          <w:u w:val="single"/>
          <w:lang w:val="nl-NL"/>
        </w:rPr>
        <w:t>Luật sửa đổi, bổ sung một số điều của Luật Tổ chức Chính phủ và Luật Tổ chức chính quyền địa phương</w:t>
      </w:r>
      <w:r w:rsidRPr="00B221E8">
        <w:rPr>
          <w:i/>
          <w:iCs/>
          <w:sz w:val="28"/>
          <w:szCs w:val="28"/>
          <w:lang w:val="nl-NL"/>
        </w:rPr>
        <w:fldChar w:fldCharType="end"/>
      </w:r>
      <w:bookmarkEnd w:id="3"/>
      <w:r w:rsidRPr="00B221E8">
        <w:rPr>
          <w:i/>
          <w:iCs/>
          <w:sz w:val="28"/>
          <w:szCs w:val="28"/>
          <w:lang w:val="nl-NL"/>
        </w:rPr>
        <w:t> ngày 22 tháng 11 năm 2019;</w:t>
      </w:r>
    </w:p>
    <w:p w:rsidR="00B221E8" w:rsidRPr="00B221E8" w:rsidRDefault="00B221E8" w:rsidP="00B221E8">
      <w:pPr>
        <w:pStyle w:val="NoSpacing"/>
        <w:spacing w:line="276" w:lineRule="auto"/>
        <w:ind w:firstLine="720"/>
        <w:jc w:val="both"/>
        <w:rPr>
          <w:sz w:val="28"/>
          <w:szCs w:val="28"/>
        </w:rPr>
      </w:pPr>
      <w:r w:rsidRPr="00B221E8">
        <w:rPr>
          <w:i/>
          <w:iCs/>
          <w:sz w:val="28"/>
          <w:szCs w:val="28"/>
          <w:lang w:val="nl-NL"/>
        </w:rPr>
        <w:t>Căn cứ </w:t>
      </w:r>
      <w:bookmarkStart w:id="4" w:name="tvpllink_nbilipmzhq"/>
      <w:r w:rsidRPr="00B221E8">
        <w:rPr>
          <w:i/>
          <w:iCs/>
          <w:sz w:val="28"/>
          <w:szCs w:val="28"/>
          <w:lang w:val="nl-NL"/>
        </w:rPr>
        <w:fldChar w:fldCharType="begin"/>
      </w:r>
      <w:r w:rsidRPr="00B221E8">
        <w:rPr>
          <w:i/>
          <w:iCs/>
          <w:sz w:val="28"/>
          <w:szCs w:val="28"/>
          <w:lang w:val="nl-NL"/>
        </w:rPr>
        <w:instrText xml:space="preserve"> HYPERLINK "https://thuvienphapluat.vn/van-ban/Lao-dong-Tien-luong/Bo-Luat-lao-dong-2019-333670.aspx" \t "_blank" </w:instrText>
      </w:r>
      <w:r w:rsidRPr="00B221E8">
        <w:rPr>
          <w:i/>
          <w:iCs/>
          <w:sz w:val="28"/>
          <w:szCs w:val="28"/>
          <w:lang w:val="nl-NL"/>
        </w:rPr>
        <w:fldChar w:fldCharType="separate"/>
      </w:r>
      <w:r w:rsidRPr="00B221E8">
        <w:rPr>
          <w:i/>
          <w:iCs/>
          <w:color w:val="0E70C3"/>
          <w:sz w:val="28"/>
          <w:szCs w:val="28"/>
          <w:u w:val="single"/>
          <w:lang w:val="nl-NL"/>
        </w:rPr>
        <w:t>Bộ luật Lao động</w:t>
      </w:r>
      <w:r w:rsidRPr="00B221E8">
        <w:rPr>
          <w:i/>
          <w:iCs/>
          <w:sz w:val="28"/>
          <w:szCs w:val="28"/>
          <w:lang w:val="nl-NL"/>
        </w:rPr>
        <w:fldChar w:fldCharType="end"/>
      </w:r>
      <w:bookmarkEnd w:id="4"/>
      <w:r w:rsidRPr="00B221E8">
        <w:rPr>
          <w:i/>
          <w:iCs/>
          <w:sz w:val="28"/>
          <w:szCs w:val="28"/>
          <w:lang w:val="nl-NL"/>
        </w:rPr>
        <w:t> ngày 20 tháng 11 năm 2019;</w:t>
      </w:r>
    </w:p>
    <w:p w:rsidR="00B221E8" w:rsidRPr="00B221E8" w:rsidRDefault="00B221E8" w:rsidP="00B221E8">
      <w:pPr>
        <w:pStyle w:val="NoSpacing"/>
        <w:spacing w:line="276" w:lineRule="auto"/>
        <w:ind w:firstLine="720"/>
        <w:jc w:val="both"/>
        <w:rPr>
          <w:sz w:val="28"/>
          <w:szCs w:val="28"/>
        </w:rPr>
      </w:pPr>
      <w:r w:rsidRPr="00B221E8">
        <w:rPr>
          <w:i/>
          <w:iCs/>
          <w:sz w:val="28"/>
          <w:szCs w:val="28"/>
        </w:rPr>
        <w:t>Theo đề nghị của Bộ trưởng Bộ Lao động - Thương binh và Xã hội;</w:t>
      </w:r>
    </w:p>
    <w:p w:rsidR="00B221E8" w:rsidRPr="00B221E8" w:rsidRDefault="00B221E8" w:rsidP="00B221E8">
      <w:pPr>
        <w:pStyle w:val="NoSpacing"/>
        <w:spacing w:line="276" w:lineRule="auto"/>
        <w:ind w:firstLine="720"/>
        <w:jc w:val="both"/>
        <w:rPr>
          <w:sz w:val="28"/>
          <w:szCs w:val="28"/>
        </w:rPr>
      </w:pPr>
      <w:r w:rsidRPr="00B221E8">
        <w:rPr>
          <w:i/>
          <w:iCs/>
          <w:sz w:val="28"/>
          <w:szCs w:val="28"/>
        </w:rPr>
        <w:t>Chính phủ ban hành Nghị định</w:t>
      </w:r>
      <w:r w:rsidRPr="00B221E8">
        <w:rPr>
          <w:sz w:val="28"/>
          <w:szCs w:val="28"/>
        </w:rPr>
        <w:t> </w:t>
      </w:r>
      <w:r w:rsidRPr="00B221E8">
        <w:rPr>
          <w:i/>
          <w:iCs/>
          <w:sz w:val="28"/>
          <w:szCs w:val="28"/>
        </w:rPr>
        <w:t>quy định mức lương tối thiểu đối với người lao động làm việc theo hợp đồng lao động.</w:t>
      </w:r>
    </w:p>
    <w:p w:rsidR="008137C2" w:rsidRPr="008137C2" w:rsidRDefault="008137C2" w:rsidP="008137C2">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Điều 1. Phạm vi điều chỉnh</w:t>
      </w:r>
      <w:bookmarkStart w:id="5" w:name="_GoBack"/>
      <w:bookmarkEnd w:id="5"/>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Nghị định này quy định mức lương tối thiểu tháng và mức lương tối thiểu giờ áp dụng đối với người lao động làm việc theo hợp đồng lao động.</w:t>
      </w:r>
    </w:p>
    <w:p w:rsidR="008137C2" w:rsidRPr="008137C2" w:rsidRDefault="008137C2" w:rsidP="008137C2">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Điều 2. Đối tượng áp dụng</w:t>
      </w:r>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1. Người lao động làm việc theo hợp đồng lao động theo quy định của Bộ luật L</w:t>
      </w:r>
      <w:r w:rsidR="00B221E8">
        <w:rPr>
          <w:rFonts w:eastAsia="Times New Roman" w:cs="Times New Roman"/>
          <w:sz w:val="28"/>
          <w:szCs w:val="28"/>
        </w:rPr>
        <w:t>Đ</w:t>
      </w:r>
      <w:r w:rsidRPr="008137C2">
        <w:rPr>
          <w:rFonts w:eastAsia="Times New Roman" w:cs="Times New Roman"/>
          <w:sz w:val="28"/>
          <w:szCs w:val="28"/>
        </w:rPr>
        <w:t>.</w:t>
      </w:r>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2. Người sử dụng lao động theo quy định của Bộ luật Lao động, bao gồm:</w:t>
      </w:r>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a) Doanh nghiệp theo quy định của Luật Doanh nghiệp.</w:t>
      </w:r>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b) Cơ quan, tổ chức, hợp tác xã, hộ gia đình, cá nhân có thuê mướn, sử dụng người lao động làm việc cho mình theo thỏa thuận; trường hợp người sử dụng lao động là cá nhân thì phải có năng lực hành vi dân sự đầy đủ.</w:t>
      </w:r>
    </w:p>
    <w:p w:rsidR="008137C2" w:rsidRPr="008137C2" w:rsidRDefault="008137C2" w:rsidP="008137C2">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3. Các cơ quan, tổ chức, cá nhân khác có liên quan đến việc thực hiện mức lương tối thiểu quy định tại Nghị định này.</w:t>
      </w:r>
    </w:p>
    <w:p w:rsidR="008137C2" w:rsidRPr="008137C2" w:rsidRDefault="008137C2" w:rsidP="008137C2">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Điều 3. Mức lương tối thiểu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1. Quy định mức lương tối thiểu tháng và mức lương tối thiểu giờ đối với người lao động làm việc cho người sử dụng lao động theo vùng như sau:</w:t>
      </w:r>
    </w:p>
    <w:tbl>
      <w:tblPr>
        <w:tblW w:w="10340" w:type="dxa"/>
        <w:tblCellMar>
          <w:left w:w="0" w:type="dxa"/>
          <w:right w:w="0" w:type="dxa"/>
        </w:tblCellMar>
        <w:tblLook w:val="04A0" w:firstRow="1" w:lastRow="0" w:firstColumn="1" w:lastColumn="0" w:noHBand="0" w:noVBand="1"/>
      </w:tblPr>
      <w:tblGrid>
        <w:gridCol w:w="2119"/>
        <w:gridCol w:w="4252"/>
        <w:gridCol w:w="3969"/>
      </w:tblGrid>
      <w:tr w:rsidR="008137C2" w:rsidRPr="008137C2" w:rsidTr="00B221E8">
        <w:trPr>
          <w:trHeight w:val="690"/>
        </w:trPr>
        <w:tc>
          <w:tcPr>
            <w:tcW w:w="211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Vùng</w:t>
            </w:r>
          </w:p>
        </w:tc>
        <w:tc>
          <w:tcPr>
            <w:tcW w:w="4252"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Mức lương tối thiểu tháng</w:t>
            </w:r>
          </w:p>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(Đơn vị: đồng/tháng)</w:t>
            </w:r>
          </w:p>
        </w:tc>
        <w:tc>
          <w:tcPr>
            <w:tcW w:w="396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Mức lương tối thiểu giờ</w:t>
            </w:r>
          </w:p>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(Đơn vị: đồng/giờ)</w:t>
            </w:r>
          </w:p>
        </w:tc>
      </w:tr>
      <w:tr w:rsidR="008137C2" w:rsidRPr="008137C2" w:rsidTr="00B221E8">
        <w:trPr>
          <w:trHeight w:val="351"/>
        </w:trPr>
        <w:tc>
          <w:tcPr>
            <w:tcW w:w="211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Vùng I</w:t>
            </w:r>
          </w:p>
        </w:tc>
        <w:tc>
          <w:tcPr>
            <w:tcW w:w="4252"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4.960.000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23.800</w:t>
            </w:r>
          </w:p>
        </w:tc>
      </w:tr>
      <w:tr w:rsidR="008137C2" w:rsidRPr="008137C2" w:rsidTr="00B221E8">
        <w:trPr>
          <w:trHeight w:val="351"/>
        </w:trPr>
        <w:tc>
          <w:tcPr>
            <w:tcW w:w="211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Vùng II</w:t>
            </w:r>
          </w:p>
        </w:tc>
        <w:tc>
          <w:tcPr>
            <w:tcW w:w="4252"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4.410.000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21.200</w:t>
            </w:r>
          </w:p>
        </w:tc>
      </w:tr>
      <w:tr w:rsidR="008137C2" w:rsidRPr="008137C2" w:rsidTr="00B221E8">
        <w:trPr>
          <w:trHeight w:val="351"/>
        </w:trPr>
        <w:tc>
          <w:tcPr>
            <w:tcW w:w="211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Vùng III</w:t>
            </w:r>
          </w:p>
        </w:tc>
        <w:tc>
          <w:tcPr>
            <w:tcW w:w="4252"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3.860.000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18.600</w:t>
            </w:r>
          </w:p>
        </w:tc>
      </w:tr>
      <w:tr w:rsidR="008137C2" w:rsidRPr="008137C2" w:rsidTr="00B221E8">
        <w:trPr>
          <w:trHeight w:val="351"/>
        </w:trPr>
        <w:tc>
          <w:tcPr>
            <w:tcW w:w="211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Vùng IV</w:t>
            </w:r>
          </w:p>
        </w:tc>
        <w:tc>
          <w:tcPr>
            <w:tcW w:w="4252"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3.450.000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rPr>
              <w:t>16.600</w:t>
            </w:r>
          </w:p>
        </w:tc>
      </w:tr>
    </w:tbl>
    <w:p w:rsidR="00B221E8" w:rsidRDefault="00B221E8" w:rsidP="003D6556">
      <w:pPr>
        <w:pStyle w:val="NoSpacing"/>
        <w:spacing w:line="276" w:lineRule="auto"/>
        <w:ind w:firstLine="720"/>
        <w:jc w:val="both"/>
        <w:rPr>
          <w:rFonts w:eastAsia="Times New Roman" w:cs="Times New Roman"/>
          <w:sz w:val="28"/>
          <w:szCs w:val="28"/>
        </w:rPr>
      </w:pPr>
    </w:p>
    <w:p w:rsidR="00B221E8" w:rsidRDefault="00B221E8" w:rsidP="003D6556">
      <w:pPr>
        <w:pStyle w:val="NoSpacing"/>
        <w:spacing w:line="276" w:lineRule="auto"/>
        <w:ind w:firstLine="720"/>
        <w:jc w:val="both"/>
        <w:rPr>
          <w:rFonts w:eastAsia="Times New Roman" w:cs="Times New Roman"/>
          <w:sz w:val="28"/>
          <w:szCs w:val="28"/>
        </w:rPr>
      </w:pP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2. Danh mục địa bàn vùng I, vùng II, vùng III, vùng IV được quy định tại Phụ lục kèm theo Nghị định này.</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3. Việc áp dụng địa bàn vùng được xác định theo nơi hoạt động của người sử dụng lao động như sau: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a) Người sử dụng lao động hoạt động trên địa bàn thuộc vùng nào thì áp dụng mức lương tối thiểu quy định đối với địa bàn đó.</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b) Người sử dụng lao động có đơn vị, chi nhánh hoạt động trên các địa bàn có mức lương tối thiểu khác nhau thì đơn vị, chi nhánh hoạt động ở địa bàn nào, áp dụng mức lương tối thiểu quy định đối với địa bàn đó.</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c) Người sử dụng lao động hoạt động trong khu công nghiệp, khu chế xuất nằm trên các địa bàn có mức lương tối thiểu khác nhau thì áp dụng theo địa bàn có mức lương tối thiểu cao nhất.</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d) Người sử dụng lao động hoạt động trên địa bàn có sự thay đổi tên gọi hoặc chia đơn vị hành chính thì tạm thời áp dụng mức lương tối thiểu quy định đối với địa bàn trước khi thay đổi tên gọi hoặc chia đơn vị hành chính cho đến khi Chính phủ có quy định mới.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đ) Người sử dụng lao động hoạt động trên địa bàn được thành lập mới từ một địa bàn hoặc nhiều địa bàn có mức lương tối thiểu khác nhau thì áp dụng mức lương tối thiểu theo địa bàn có mức lương tối thiểu cao nhất.</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e) Người sử dụng lao động hoạt động trên địa bàn là thành phố trực thuộc tỉnh được thành lập mới từ một địa bàn hoặc nhiều địa bàn thuộc vùng IV thì áp dụng mức lương tối thiểu quy định đối với địa bàn thành phố trực thuộc tỉnh còn lại tại khoản 3 Phụ lục kèm theo Nghị định này.</w:t>
      </w:r>
    </w:p>
    <w:p w:rsidR="008137C2" w:rsidRPr="008137C2" w:rsidRDefault="008137C2" w:rsidP="003D655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Điều 4. Áp dụng mức lương tối thiểu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1. Mức lương tối thiểu tháng là mức lương thấp nhất làm cơ sở để thỏa thuận và trả lương đối với người lao động áp dụng hình thức trả lương theo tháng, bảo đảm mức lương theo công việc hoặc chức danh của người lao động làm việc đủ thời giờ làm việc bình thường trong tháng và hoàn thành định mức lao động hoặc công việc đã thỏa thuận không được thấp hơn mức lương tối thiểu tháng.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2. Mức lương tối thiểu giờ là mức lương thấp nhất làm cơ sở để thỏa thuận và trả lương đối với người lao động áp dụng hình thức trả lương theo giờ, bảo đảm mức lương theo công việc hoặc chức danh của người lao động làm việc trong một giờ và hoàn thành định mức lao động hoặc công việc đã thỏa thuận không được thấp hơn mức lương tối thiểu giờ.</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xml:space="preserve">3. Đối với người lao động áp dụng hình thức trả lương theo tuần hoặc theo ngày hoặc theo sản phẩm hoặc lương khoán thì mức lương của các hình thức trả lương này nếu quy đổi theo tháng hoặc theo giờ không được thấp hơn mức lương tối thiểu tháng hoặc mức lương tối </w:t>
      </w:r>
      <w:r w:rsidRPr="008137C2">
        <w:rPr>
          <w:rFonts w:eastAsia="Times New Roman" w:cs="Times New Roman"/>
          <w:sz w:val="28"/>
          <w:szCs w:val="28"/>
        </w:rPr>
        <w:lastRenderedPageBreak/>
        <w:t>thiểu giờ. Mức lương quy đổi theo tháng hoặc theo giờ trên cơ sở thời giờ làm việc bình thường do người sử dụng lao động lựa chọn theo quy định của pháp luật lao động như sau: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a) Mức lương quy đổi theo tháng bằng mức lương theo tuần nhân với 52 tuần chia cho 12 tháng; hoặc mức lương theo ngày nhân với số ngày làm việc bình thường trong tháng; hoặc mức lương theo sản phẩm, lương khoán thực hiện trong thời giờ làm việc bình thường trong tháng.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b) Mức lương quy đổi theo giờ bằng mức lương theo tuần, theo ngày chia cho số giờ làm việc bình thường trong tuần, trong ngày; hoặc mức lương theo sản phẩm, lương khoán chia cho số giờ làm việc trong thời giờ làm việc bình thường để sản xuất sản phẩm, thực hiện nhiệm vụ khoán.</w:t>
      </w:r>
    </w:p>
    <w:p w:rsidR="008137C2" w:rsidRPr="008137C2" w:rsidRDefault="008137C2" w:rsidP="003D655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Điều 5. Hiệu lực và trách nhiệm thi hành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xml:space="preserve">1. Nghị định này có hiệu lực thi hành </w:t>
      </w:r>
      <w:r w:rsidRPr="00735AEC">
        <w:rPr>
          <w:rFonts w:eastAsia="Times New Roman" w:cs="Times New Roman"/>
          <w:b/>
          <w:sz w:val="28"/>
          <w:szCs w:val="28"/>
        </w:rPr>
        <w:t>từ ngày 01 tháng 7 năm 2024.</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2. Nghị định số 38/2022/NĐ-CP ngày 12 tháng 6 năm 2022 của Chính phủ quy định mức lương tối thiểu đối với người lao động làm việc theo hợp đồng lao động hết hiệu lực kể từ ngày 01 tháng 7 năm 2024.</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3. Khi thực hiện mức lương tối thiểu quy định tại Nghị định này, người sử dụng lao động có trách nhiệm rà soát lại các chế độ trả lương trong hợp đồng lao động đã thỏa thuận với người lao động, thoả ước lao động tập thể và các quy chế, quy định của người sử dụng lao động để điều chỉnh, bổ sung cho phù hợp. Đối với các nội dung trả lương đã thỏa thuận, cam kết mà có lợi hơn cho người lao động (như chế độ trả lương cho người lao động làm công việc hoặc chức danh đòi hỏi qua học tập, đào tạo nghề cao hơn ít nhất 7% so với mức lương tối thiểu và chế độ trả lương cho người lao động làm công việc hoặc chức danh có điều kiện lao động nặng nhọc, độc hại, nguy hiểm cao hơn ít nhất 5%; công việc hoặc chức danh có điều kiện lao động đặc biệt nặng nhọc, độc hại, nguy hiểm cao hơn ít nhất 7% so với mức lương của công việc hoặc chức danh có độ phức tạp tương đương, làm việc trong điều kiện lao động bình thường) thì tiếp tục được thực hiện, trừ trường hợp các bên có thỏa thuận khác. Người sử dụng lao động không được xoá bỏ hoặc cắt giảm các chế độ tiền lương khi người lao động làm thêm giờ, làm việc vào ban đêm, chế độ bồi dưỡng bằng hiện vật và các chế độ khác theo quy định của pháp luật lao động.</w:t>
      </w:r>
    </w:p>
    <w:p w:rsid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Các Bộ trưởng, Thủ trưởng cơ quan ngang bộ, Thủ trưởng cơ quan thuộc Chính phủ, Chủ tịch Ủy ban nhân dân tỉnh, thành phố trực thuộc trung ương và người sử dụng lao động chịu trách nhiệm thi hành Nghị định này.</w:t>
      </w:r>
    </w:p>
    <w:p w:rsidR="003D6556" w:rsidRDefault="003D6556" w:rsidP="003D6556">
      <w:pPr>
        <w:pStyle w:val="NoSpacing"/>
        <w:spacing w:line="276" w:lineRule="auto"/>
        <w:ind w:firstLine="720"/>
        <w:jc w:val="both"/>
        <w:rPr>
          <w:rFonts w:eastAsia="Times New Roman" w:cs="Times New Roman"/>
          <w:sz w:val="28"/>
          <w:szCs w:val="28"/>
        </w:rPr>
      </w:pPr>
    </w:p>
    <w:p w:rsidR="003D6556" w:rsidRDefault="003D6556" w:rsidP="003D6556">
      <w:pPr>
        <w:pStyle w:val="NoSpacing"/>
        <w:spacing w:line="276" w:lineRule="auto"/>
        <w:ind w:firstLine="720"/>
        <w:jc w:val="both"/>
        <w:rPr>
          <w:rFonts w:eastAsia="Times New Roman" w:cs="Times New Roman"/>
          <w:sz w:val="28"/>
          <w:szCs w:val="28"/>
        </w:rPr>
      </w:pPr>
    </w:p>
    <w:p w:rsidR="003D6556" w:rsidRDefault="003D6556" w:rsidP="003D6556">
      <w:pPr>
        <w:pStyle w:val="NoSpacing"/>
        <w:spacing w:line="276" w:lineRule="auto"/>
        <w:ind w:firstLine="720"/>
        <w:jc w:val="both"/>
        <w:rPr>
          <w:rFonts w:eastAsia="Times New Roman" w:cs="Times New Roman"/>
          <w:sz w:val="28"/>
          <w:szCs w:val="28"/>
        </w:rPr>
      </w:pPr>
    </w:p>
    <w:p w:rsidR="003D6556" w:rsidRDefault="003D6556" w:rsidP="003D6556">
      <w:pPr>
        <w:pStyle w:val="NoSpacing"/>
        <w:spacing w:line="276" w:lineRule="auto"/>
        <w:ind w:firstLine="720"/>
        <w:jc w:val="both"/>
        <w:rPr>
          <w:rFonts w:eastAsia="Times New Roman" w:cs="Times New Roman"/>
          <w:sz w:val="28"/>
          <w:szCs w:val="28"/>
        </w:rPr>
      </w:pPr>
    </w:p>
    <w:p w:rsidR="003D6556" w:rsidRDefault="003D6556" w:rsidP="003D6556">
      <w:pPr>
        <w:pStyle w:val="NoSpacing"/>
        <w:spacing w:line="276" w:lineRule="auto"/>
        <w:ind w:firstLine="720"/>
        <w:jc w:val="both"/>
        <w:rPr>
          <w:rFonts w:eastAsia="Times New Roman" w:cs="Times New Roman"/>
          <w:sz w:val="28"/>
          <w:szCs w:val="28"/>
        </w:rPr>
      </w:pPr>
    </w:p>
    <w:p w:rsidR="003D6556" w:rsidRPr="008137C2" w:rsidRDefault="003D6556" w:rsidP="003D6556">
      <w:pPr>
        <w:pStyle w:val="NoSpacing"/>
        <w:spacing w:line="276" w:lineRule="auto"/>
        <w:ind w:firstLine="720"/>
        <w:jc w:val="both"/>
        <w:rPr>
          <w:rFonts w:eastAsia="Times New Roman" w:cs="Times New Roman"/>
          <w:sz w:val="28"/>
          <w:szCs w:val="28"/>
        </w:rPr>
      </w:pPr>
    </w:p>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b/>
          <w:bCs/>
          <w:sz w:val="28"/>
          <w:szCs w:val="28"/>
        </w:rPr>
        <w:t>Phụ lục</w:t>
      </w:r>
    </w:p>
    <w:p w:rsidR="003D6556" w:rsidRDefault="008137C2" w:rsidP="003D6556">
      <w:pPr>
        <w:pStyle w:val="NoSpacing"/>
        <w:spacing w:line="276" w:lineRule="auto"/>
        <w:jc w:val="center"/>
        <w:rPr>
          <w:rFonts w:eastAsia="Times New Roman" w:cs="Times New Roman"/>
          <w:b/>
          <w:bCs/>
          <w:sz w:val="28"/>
          <w:szCs w:val="28"/>
        </w:rPr>
      </w:pPr>
      <w:r w:rsidRPr="008137C2">
        <w:rPr>
          <w:rFonts w:eastAsia="Times New Roman" w:cs="Times New Roman"/>
          <w:b/>
          <w:bCs/>
          <w:sz w:val="28"/>
          <w:szCs w:val="28"/>
        </w:rPr>
        <w:t xml:space="preserve">DANH MỤC ĐỊA BÀN ÁP DỤNG MỨC LƯƠNG TỐI THIỂU </w:t>
      </w:r>
    </w:p>
    <w:p w:rsidR="008137C2" w:rsidRPr="008137C2" w:rsidRDefault="008137C2" w:rsidP="003D6556">
      <w:pPr>
        <w:pStyle w:val="NoSpacing"/>
        <w:spacing w:line="276" w:lineRule="auto"/>
        <w:jc w:val="center"/>
        <w:rPr>
          <w:rFonts w:eastAsia="Times New Roman" w:cs="Times New Roman"/>
          <w:b/>
          <w:bCs/>
          <w:sz w:val="28"/>
          <w:szCs w:val="28"/>
        </w:rPr>
      </w:pPr>
      <w:r w:rsidRPr="008137C2">
        <w:rPr>
          <w:rFonts w:eastAsia="Times New Roman" w:cs="Times New Roman"/>
          <w:b/>
          <w:bCs/>
          <w:sz w:val="28"/>
          <w:szCs w:val="28"/>
        </w:rPr>
        <w:t>TỪ NGÀY 01 THÁNG 7 NĂM 2024</w:t>
      </w:r>
    </w:p>
    <w:p w:rsidR="008137C2" w:rsidRPr="004C0272" w:rsidRDefault="008137C2" w:rsidP="003D6556">
      <w:pPr>
        <w:pStyle w:val="NoSpacing"/>
        <w:spacing w:line="276" w:lineRule="auto"/>
        <w:jc w:val="center"/>
        <w:rPr>
          <w:rFonts w:eastAsia="Times New Roman" w:cs="Times New Roman"/>
          <w:i/>
          <w:sz w:val="28"/>
          <w:szCs w:val="28"/>
        </w:rPr>
      </w:pPr>
      <w:r w:rsidRPr="004C0272">
        <w:rPr>
          <w:rFonts w:eastAsia="Times New Roman" w:cs="Times New Roman"/>
          <w:i/>
          <w:sz w:val="28"/>
          <w:szCs w:val="28"/>
        </w:rPr>
        <w:t>(Kèm theo Nghị định số 74/2024/NĐ-CP</w:t>
      </w:r>
      <w:r w:rsidR="003D6556" w:rsidRPr="004C0272">
        <w:rPr>
          <w:rFonts w:eastAsia="Times New Roman" w:cs="Times New Roman"/>
          <w:i/>
          <w:sz w:val="28"/>
          <w:szCs w:val="28"/>
        </w:rPr>
        <w:t xml:space="preserve"> </w:t>
      </w:r>
      <w:r w:rsidRPr="004C0272">
        <w:rPr>
          <w:rFonts w:eastAsia="Times New Roman" w:cs="Times New Roman"/>
          <w:i/>
          <w:sz w:val="28"/>
          <w:szCs w:val="28"/>
        </w:rPr>
        <w:t>ngày 30 tháng 6 năm 2024 của Chính phủ)</w:t>
      </w:r>
    </w:p>
    <w:p w:rsidR="008137C2" w:rsidRPr="008137C2" w:rsidRDefault="008137C2" w:rsidP="003D6556">
      <w:pPr>
        <w:pStyle w:val="NoSpacing"/>
        <w:spacing w:line="276" w:lineRule="auto"/>
        <w:jc w:val="center"/>
        <w:rPr>
          <w:rFonts w:eastAsia="Times New Roman" w:cs="Times New Roman"/>
          <w:sz w:val="28"/>
          <w:szCs w:val="28"/>
        </w:rPr>
      </w:pPr>
      <w:r w:rsidRPr="008137C2">
        <w:rPr>
          <w:rFonts w:eastAsia="Times New Roman" w:cs="Times New Roman"/>
          <w:sz w:val="28"/>
          <w:szCs w:val="28"/>
          <w:vertAlign w:val="superscript"/>
        </w:rPr>
        <w:t>_____________</w:t>
      </w:r>
    </w:p>
    <w:p w:rsidR="008137C2" w:rsidRPr="008137C2" w:rsidRDefault="008137C2" w:rsidP="003D655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1. Vùng I, gồm các địa bàn: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quận và các huyện Gia Lâm, Đông Anh, Sóc Sơn, Thanh Trì, Thường Tín, Hoài Đức, Thạch Thất, Quốc Oai, Thanh Oai, Mê Linh, Chương Mỹ và thị xã Sơn Tây thuộc thành phố Hà Nội;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Hạ Long, Uông Bí, Móng Cái và các thị xã Quảng Yên, Đông Triều thuộc tỉnh Quảng Ninh;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quận và các huyện Thủy Nguyên, An Dương, An Lão, Vĩnh Bảo, Tiên Lãng, Cát Hải, Kiến Thụy thuộc thành phố Hải Phòng;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Hải Dương thuộc tỉnh Hải Dương;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quận, thành phố Thủ Đức và các huyện Củ Chi, Hóc Môn, Bình Chánh, Nhà Bè thuộc Thành phố Hồ Chí Minh;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Biên Hòa, Long Khánh và các huyện Nhơn Trạch, Long Thành, Vĩnh Cửu, Trảng Bom, Xuân Lộc, Thống Nhất thuộc tỉnh Đồng Nai;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Thủ Dầu Một, Thuận An, Dĩ An, Tân Uyên, Bến Cát và các huyện Bàu Bàng, Bắc Tân Uyên, Dầu Tiếng, Phú Giáo thuộc tỉnh Bình Dương;</w:t>
      </w:r>
    </w:p>
    <w:p w:rsidR="008137C2" w:rsidRPr="00735AEC" w:rsidRDefault="008137C2" w:rsidP="003D6556">
      <w:pPr>
        <w:pStyle w:val="NoSpacing"/>
        <w:spacing w:line="276" w:lineRule="auto"/>
        <w:ind w:firstLine="720"/>
        <w:jc w:val="both"/>
        <w:rPr>
          <w:rFonts w:eastAsia="Times New Roman" w:cs="Times New Roman"/>
          <w:b/>
          <w:sz w:val="28"/>
          <w:szCs w:val="28"/>
        </w:rPr>
      </w:pPr>
      <w:r w:rsidRPr="00735AEC">
        <w:rPr>
          <w:rFonts w:eastAsia="Times New Roman" w:cs="Times New Roman"/>
          <w:b/>
          <w:sz w:val="28"/>
          <w:szCs w:val="28"/>
        </w:rPr>
        <w:t>- Thành phố Vũng Tàu, thị xã Phú Mỹ thuộc tỉnh Bà Rịa - Vũng Tàu;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Tân An và các huyện Đức Hòa, Bến Lức, Cần Giuộc thuộc tỉnh Long An.</w:t>
      </w:r>
    </w:p>
    <w:p w:rsidR="008137C2" w:rsidRPr="008137C2" w:rsidRDefault="008137C2" w:rsidP="003D655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2. Vùng II, gồm các địa bàn: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còn lại thuộc thành phố Hà Nội;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Lào Cai thuộc tỉnh Lào Cai;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Thái Nguyên, Sông Công và Phổ Yên thuộc tỉnh Thái Nguyên;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Hoà Bình và huyện Lương Sơn thuộc tỉnh Hòa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Việt Trì thuộc tỉnh Phú Thọ;</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Bắc Giang, thị xã Việt Yên và huyện Yên Dũng thuộc tỉnh Bắc Giang;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Vĩnh Yên, Phúc Yên và các huyện Bình Xuyên, Yên Lạc thuộc tỉnh Vĩnh Phúc;</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Bắc Ninh, Từ Sơn; các thị xã Thuận Thành, Quế Võ và các huyện Tiên Du, Yên Phong, Gia Bình, Lương Tài thuộc tỉnh Bắc Ninh;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Hưng Yên, thị xã Mỹ Hào và các huyện Văn Lâm, Văn Giang, Yên Mỹ thuộc tỉnh Hưng Yên;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lastRenderedPageBreak/>
        <w:t>- Thành phố Chí Linh, thị xã Kinh Môn và các huyện Cẩm Giàng, Bình Giang, Tứ Kỳ, Gia Lộc, Nam Sách, Kim Thành thuộc tỉnh Hải Dương;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Cẩm Phả thuộc tỉnh Quảng Ninh;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còn lại thuộc thành phố Hải Phòng;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Thái Bình thuộc tỉnh Thái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Nam Định và huyện Mỹ Lộc thuộc tỉnh Nam Định;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Ninh Bình thuộc tỉnh Ninh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Thanh Hóa, Sầm Sơn và các thị xã Bỉm Sơn, Nghi Sơn thuộc tỉnh Thanh Hóa;</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Vinh, thị xã Cửa Lò và các huyện Nghi Lộc, Hưng Nguyên thuộc tỉnh Nghệ An;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Đồng Hới thuộc tỉnh Quảng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Huế thuộc tỉnh Thừa Thiên Huế;</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Hội An, Tam Kỳ thuộc tỉnh Quảng Nam;</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quận, huyện thuộc thành phố Đà Nẵng;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Nha Trang, Cam Ranh và thị xã Ninh Hòa thuộc tỉnh Khánh Hòa;</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Đà Lạt, Bảo Lộc thuộc tỉnh Lâm Đồng;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Phan Thiết thuộc tỉnh Bình Thuận;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Huyện Cần Giờ thuộc Thành phố Hồ Chí Minh;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Tây Ninh, các thị xã Trảng Bàng, Hòa Thành và huyện Gò Dầu thuộc tỉnh Tây Ninh;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Định Quán, Tân Phú, Cẩm Mỹ thuộc tỉnh Đồng Nai;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Đồng Xoài, thị xã Chơn Thành và huyện Đồng Phú thuộc tỉnh Bình Phước;</w:t>
      </w:r>
    </w:p>
    <w:p w:rsidR="008137C2" w:rsidRPr="003D6556" w:rsidRDefault="008137C2" w:rsidP="003D6556">
      <w:pPr>
        <w:pStyle w:val="NoSpacing"/>
        <w:spacing w:line="276" w:lineRule="auto"/>
        <w:ind w:firstLine="720"/>
        <w:jc w:val="both"/>
        <w:rPr>
          <w:rFonts w:eastAsia="Times New Roman" w:cs="Times New Roman"/>
          <w:b/>
          <w:sz w:val="28"/>
          <w:szCs w:val="28"/>
        </w:rPr>
      </w:pPr>
      <w:r w:rsidRPr="003D6556">
        <w:rPr>
          <w:rFonts w:eastAsia="Times New Roman" w:cs="Times New Roman"/>
          <w:b/>
          <w:sz w:val="28"/>
          <w:szCs w:val="28"/>
        </w:rPr>
        <w:t>- Thành phố Bà Rịa thuộc tỉnh Bà Rịa - Vũng Tàu;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Thủ Thừa, Cần Đước và thị xã Kiến Tường thuộc tỉnh Long An;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Mỹ Tho và huyện Châu Thành thuộc tỉnh Tiền Giang;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Bến Tre và huyện Châu Thành thuộc tỉnh Bến Tre;</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Vĩnh Long và thị xã Bình Minh thuộc tỉnh Vĩnh Long;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quận thuộc thành phố Cần Thơ;</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Rạch Giá, Hà Tiên, Phú Quốc thuộc tỉnh Kiên Giang;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Long Xuyên, Châu Đốc thuộc tỉnh An Giang;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Trà Vinh thuộc tỉnh Trà Vinh;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Sóc Trăng thuộc tỉnh Sóc Trăng;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Bạc Liêu thuộc tỉnh Bạc Liêu;</w:t>
      </w:r>
    </w:p>
    <w:p w:rsid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Thành phố Cà Mau thuộc tỉnh Cà Mau.</w:t>
      </w:r>
    </w:p>
    <w:p w:rsidR="00B221E8" w:rsidRDefault="00B221E8" w:rsidP="003D6556">
      <w:pPr>
        <w:pStyle w:val="NoSpacing"/>
        <w:spacing w:line="276" w:lineRule="auto"/>
        <w:ind w:firstLine="720"/>
        <w:jc w:val="both"/>
        <w:rPr>
          <w:rFonts w:eastAsia="Times New Roman" w:cs="Times New Roman"/>
          <w:sz w:val="28"/>
          <w:szCs w:val="28"/>
        </w:rPr>
      </w:pPr>
    </w:p>
    <w:p w:rsidR="00B221E8" w:rsidRPr="008137C2" w:rsidRDefault="00B221E8" w:rsidP="003D6556">
      <w:pPr>
        <w:pStyle w:val="NoSpacing"/>
        <w:spacing w:line="276" w:lineRule="auto"/>
        <w:ind w:firstLine="720"/>
        <w:jc w:val="both"/>
        <w:rPr>
          <w:rFonts w:eastAsia="Times New Roman" w:cs="Times New Roman"/>
          <w:sz w:val="28"/>
          <w:szCs w:val="28"/>
        </w:rPr>
      </w:pPr>
    </w:p>
    <w:p w:rsidR="008137C2" w:rsidRPr="008137C2" w:rsidRDefault="008137C2" w:rsidP="003D655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lastRenderedPageBreak/>
        <w:t>3. Vùng III, gồm các địa bàn: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thành phố trực thuộc tỉnh còn lại (trừ các thành phố trực thuộc tỉnh nêu tại vùng I, vùng II);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Sa Pa, huyện Bảo Thắng thuộc tỉnh Lào Cai;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Phú Bình, Phú Lương, Đồng Hỷ, Đại Từ thuộc tỉnh Thái Nguyên;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Hiệp Hòa, Tân Yên, Lạng Giang thuộc tỉnh Bắc Giang;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Ninh Giang, Thanh Miện, Thanh Hà thuộc tỉnh Hải Dương;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Phú Thọ và các huyện Phù Ninh, Lâm Thao, Thanh Ba, Tam Nông thuộc tỉnh Phú Thọ;</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Vĩnh Tường, Tam Đảo, Tam Dương, Lập Thạch, Sông Lô thuộc tỉnh Vĩnh Phúc;</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Vân Đồn, Hải Hà, Đầm Hà, Tiên Yên thuộc tỉnh Quảng Ninh;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còn lại thuộc tỉnh Hưng Yên;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Thái Thụy, Tiền Hải thuộc tỉnh Thái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còn lại thuộc tỉnh Nam Định;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Duy Tiên và huyện Kim Bảng thuộc tỉnh Hà Nam;</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Gia Viễn, Yên Khánh, Hoa Lư thuộc tỉnh Ninh Bình;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Đông Sơn, Quảng Xương, Triệu Sơn, Thọ Xuân, Yên Định, Vĩnh Lộc, Thiệu Hóa, Hà Trung, Hậu Lộc, Nga Sơn, Hoằng Hóa, Nông Cống thuộc tỉnh Thanh Hóa;</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Quỳnh Lưu, Yên Thành, Diễn Châu, Đô Lương, Nam Đàn, Nghĩa Đàn và các thị xã Thái Hòa, Hoàng Mai thuộc tỉnh Nghệ An;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Kỳ Anh thuộc tỉnh Hà Tĩnh;</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thị xã Hương Thủy, Hương Trà và các huyện Phú Lộc, Phong Điền, Quảng Điền, Phú Vang thuộc tỉnh Thừa Thiên Huế;</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Điện Bàn và các huyện Đại Lộc, Duy Xuyên, Núi Thành, Quế Sơn, Thăng Bình, Phú Ninh thuộc tỉnh Quảng Nam;</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Bình Sơn, Sơn Tịnh thuộc tỉnh Quảng Ngãi;</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thị xã Sông Cầu, Đông Hòa thuộc tỉnh Phú Yên;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Ninh Hải, Thuận Bắc, Ninh Phước thuộc tỉnh Ninh Thuận;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Cam Lâm, Diên Khánh, Vạn Ninh thuộc tỉnh Khánh Hòa;</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Huyện Đăk Hà thuộc tỉnh Kon Tum;</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Đức Trọng, Di Linh thuộc tỉnh Lâm Đồng;</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La Gi và các huyện Hàm Thuận Bắc, Hàm Thuận Nam thuộc tỉnh Bình Thuận;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thị xã Phước Long, Bình Long và các huyện Hớn Quản, Lộc Ninh, Phú Riềng thuộc tỉnh Bình Phước;</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còn lại thuộc tỉnh Tây Ninh;</w:t>
      </w:r>
    </w:p>
    <w:p w:rsidR="008137C2" w:rsidRPr="00B221E8" w:rsidRDefault="008137C2" w:rsidP="003D6556">
      <w:pPr>
        <w:pStyle w:val="NoSpacing"/>
        <w:spacing w:line="276" w:lineRule="auto"/>
        <w:ind w:firstLine="720"/>
        <w:jc w:val="both"/>
        <w:rPr>
          <w:rFonts w:eastAsia="Times New Roman" w:cs="Times New Roman"/>
          <w:b/>
          <w:sz w:val="28"/>
          <w:szCs w:val="28"/>
        </w:rPr>
      </w:pPr>
      <w:r w:rsidRPr="00B221E8">
        <w:rPr>
          <w:rFonts w:eastAsia="Times New Roman" w:cs="Times New Roman"/>
          <w:b/>
          <w:sz w:val="28"/>
          <w:szCs w:val="28"/>
        </w:rPr>
        <w:lastRenderedPageBreak/>
        <w:t>- Các huyện Long Điền, Đất Đỏ, Xuyên Mộc, Châu Đức, Côn Đảo thuộc tỉnh Bà Rịa - Vũng Tàu;</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Đức Huệ, Châu Thành, Tân Trụ, Thạnh Hóa thuộc tỉnh Long An;</w:t>
      </w:r>
    </w:p>
    <w:p w:rsidR="008137C2" w:rsidRPr="008137C2" w:rsidRDefault="008137C2" w:rsidP="003D655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Cai Lậy và các huyện Chợ Gạo, Tân Phước thuộc tỉnh Tiền Giang;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Ba Tri, Bình Đại, Mỏ Cày Nam thuộc tỉnh Bến Tre;</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Mang Thít, Long Hồ thuộc tỉnh Vĩnh Long;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thuộc thành phố Cần Thơ;</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Kiên Lương, Kiên Hải, Châu Thành thuộc tỉnh Kiên Giang;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Tân Châu và các huyện Châu Phú, Châu Thành, Thoại Sơn thuộc tỉnh An Giang;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Châu Thành, Châu Thành A thuộc tỉnh Hậu Giang;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Duyên Hải thuộc tỉnh Trà Vinh;</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Thị xã Giá Rai và huyện Hòa Bình thuộc tỉnh Bạc Liêu;</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thị xã Vĩnh Châu, Ngã Năm thuộc tỉnh Sóc Trăng;</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Năm Căn, Cái Nước, U Minh, Trần Văn Thời thuộc tỉnh Cà Mau;</w:t>
      </w:r>
    </w:p>
    <w:p w:rsidR="008137C2" w:rsidRPr="008137C2" w:rsidRDefault="008137C2" w:rsidP="00815A76">
      <w:pPr>
        <w:pStyle w:val="NoSpacing"/>
        <w:spacing w:line="276" w:lineRule="auto"/>
        <w:ind w:firstLine="720"/>
        <w:jc w:val="both"/>
        <w:rPr>
          <w:rFonts w:eastAsia="Times New Roman" w:cs="Times New Roman"/>
          <w:sz w:val="28"/>
          <w:szCs w:val="28"/>
        </w:rPr>
      </w:pPr>
      <w:r w:rsidRPr="008137C2">
        <w:rPr>
          <w:rFonts w:eastAsia="Times New Roman" w:cs="Times New Roman"/>
          <w:sz w:val="28"/>
          <w:szCs w:val="28"/>
        </w:rPr>
        <w:t>- Các huyện Lệ Thủy, Quảng Ninh, Bố Trạch, Quảng Trạch và thị xã Ba Đồn thuộc tỉnh Quảng Bình.</w:t>
      </w:r>
    </w:p>
    <w:p w:rsidR="008137C2" w:rsidRPr="008137C2" w:rsidRDefault="008137C2" w:rsidP="00815A76">
      <w:pPr>
        <w:pStyle w:val="NoSpacing"/>
        <w:spacing w:line="276" w:lineRule="auto"/>
        <w:ind w:firstLine="720"/>
        <w:jc w:val="both"/>
        <w:rPr>
          <w:rFonts w:eastAsia="Times New Roman" w:cs="Times New Roman"/>
          <w:b/>
          <w:bCs/>
          <w:sz w:val="28"/>
          <w:szCs w:val="28"/>
        </w:rPr>
      </w:pPr>
      <w:r w:rsidRPr="008137C2">
        <w:rPr>
          <w:rFonts w:eastAsia="Times New Roman" w:cs="Times New Roman"/>
          <w:b/>
          <w:bCs/>
          <w:sz w:val="28"/>
          <w:szCs w:val="28"/>
        </w:rPr>
        <w:t>4. Vùng IV, gồm các địa bàn còn lại.</w:t>
      </w:r>
    </w:p>
    <w:p w:rsidR="00EF124B" w:rsidRDefault="00EF124B"/>
    <w:sectPr w:rsidR="00EF124B" w:rsidSect="00B221E8">
      <w:headerReference w:type="default" r:id="rId6"/>
      <w:pgSz w:w="12240" w:h="15840"/>
      <w:pgMar w:top="851" w:right="758"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66" w:rsidRDefault="00E32B66" w:rsidP="008137C2">
      <w:pPr>
        <w:spacing w:after="0" w:line="240" w:lineRule="auto"/>
      </w:pPr>
      <w:r>
        <w:separator/>
      </w:r>
    </w:p>
  </w:endnote>
  <w:endnote w:type="continuationSeparator" w:id="0">
    <w:p w:rsidR="00E32B66" w:rsidRDefault="00E32B66" w:rsidP="0081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66" w:rsidRDefault="00E32B66" w:rsidP="008137C2">
      <w:pPr>
        <w:spacing w:after="0" w:line="240" w:lineRule="auto"/>
      </w:pPr>
      <w:r>
        <w:separator/>
      </w:r>
    </w:p>
  </w:footnote>
  <w:footnote w:type="continuationSeparator" w:id="0">
    <w:p w:rsidR="00E32B66" w:rsidRDefault="00E32B66" w:rsidP="0081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400852"/>
      <w:docPartObj>
        <w:docPartGallery w:val="Page Numbers (Top of Page)"/>
        <w:docPartUnique/>
      </w:docPartObj>
    </w:sdtPr>
    <w:sdtEndPr>
      <w:rPr>
        <w:noProof/>
      </w:rPr>
    </w:sdtEndPr>
    <w:sdtContent>
      <w:p w:rsidR="008137C2" w:rsidRDefault="008137C2">
        <w:pPr>
          <w:pStyle w:val="Header"/>
          <w:jc w:val="center"/>
        </w:pPr>
        <w:r>
          <w:fldChar w:fldCharType="begin"/>
        </w:r>
        <w:r>
          <w:instrText xml:space="preserve"> PAGE   \* MERGEFORMAT </w:instrText>
        </w:r>
        <w:r>
          <w:fldChar w:fldCharType="separate"/>
        </w:r>
        <w:r w:rsidR="00B221E8">
          <w:rPr>
            <w:noProof/>
          </w:rPr>
          <w:t>2</w:t>
        </w:r>
        <w:r>
          <w:rPr>
            <w:noProof/>
          </w:rPr>
          <w:fldChar w:fldCharType="end"/>
        </w:r>
      </w:p>
    </w:sdtContent>
  </w:sdt>
  <w:p w:rsidR="008137C2" w:rsidRDefault="00813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C2"/>
    <w:rsid w:val="003D6556"/>
    <w:rsid w:val="004C0272"/>
    <w:rsid w:val="00735AEC"/>
    <w:rsid w:val="008137C2"/>
    <w:rsid w:val="00815A76"/>
    <w:rsid w:val="00867394"/>
    <w:rsid w:val="0093702E"/>
    <w:rsid w:val="009D394A"/>
    <w:rsid w:val="00B221E8"/>
    <w:rsid w:val="00B501FE"/>
    <w:rsid w:val="00BD4F42"/>
    <w:rsid w:val="00E32B66"/>
    <w:rsid w:val="00EF124B"/>
    <w:rsid w:val="00FA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398D"/>
  <w15:chartTrackingRefBased/>
  <w15:docId w15:val="{5874CF8F-9B03-4D64-A542-6A371A12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37C2"/>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8137C2"/>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7C2"/>
    <w:rPr>
      <w:rFonts w:eastAsia="Times New Roman" w:cs="Times New Roman"/>
      <w:b/>
      <w:bCs/>
      <w:sz w:val="36"/>
      <w:szCs w:val="36"/>
    </w:rPr>
  </w:style>
  <w:style w:type="character" w:customStyle="1" w:styleId="Heading4Char">
    <w:name w:val="Heading 4 Char"/>
    <w:basedOn w:val="DefaultParagraphFont"/>
    <w:link w:val="Heading4"/>
    <w:uiPriority w:val="9"/>
    <w:rsid w:val="008137C2"/>
    <w:rPr>
      <w:rFonts w:eastAsia="Times New Roman" w:cs="Times New Roman"/>
      <w:b/>
      <w:bCs/>
      <w:szCs w:val="24"/>
    </w:rPr>
  </w:style>
  <w:style w:type="paragraph" w:styleId="NormalWeb">
    <w:name w:val="Normal (Web)"/>
    <w:basedOn w:val="Normal"/>
    <w:uiPriority w:val="99"/>
    <w:semiHidden/>
    <w:unhideWhenUsed/>
    <w:rsid w:val="008137C2"/>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8137C2"/>
    <w:pPr>
      <w:spacing w:before="100" w:beforeAutospacing="1" w:after="100" w:afterAutospacing="1" w:line="240" w:lineRule="auto"/>
    </w:pPr>
    <w:rPr>
      <w:rFonts w:eastAsia="Times New Roman" w:cs="Times New Roman"/>
      <w:szCs w:val="24"/>
    </w:rPr>
  </w:style>
  <w:style w:type="character" w:customStyle="1" w:styleId="BodyText2Char">
    <w:name w:val="Body Text 2 Char"/>
    <w:basedOn w:val="DefaultParagraphFont"/>
    <w:link w:val="BodyText2"/>
    <w:uiPriority w:val="99"/>
    <w:semiHidden/>
    <w:rsid w:val="008137C2"/>
    <w:rPr>
      <w:rFonts w:eastAsia="Times New Roman" w:cs="Times New Roman"/>
      <w:szCs w:val="24"/>
    </w:rPr>
  </w:style>
  <w:style w:type="paragraph" w:styleId="Header">
    <w:name w:val="header"/>
    <w:basedOn w:val="Normal"/>
    <w:link w:val="HeaderChar"/>
    <w:uiPriority w:val="99"/>
    <w:unhideWhenUsed/>
    <w:rsid w:val="00813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C2"/>
  </w:style>
  <w:style w:type="paragraph" w:styleId="Footer">
    <w:name w:val="footer"/>
    <w:basedOn w:val="Normal"/>
    <w:link w:val="FooterChar"/>
    <w:uiPriority w:val="99"/>
    <w:unhideWhenUsed/>
    <w:rsid w:val="00813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C2"/>
  </w:style>
  <w:style w:type="paragraph" w:styleId="NoSpacing">
    <w:name w:val="No Spacing"/>
    <w:uiPriority w:val="1"/>
    <w:qFormat/>
    <w:rsid w:val="008137C2"/>
    <w:pPr>
      <w:spacing w:after="0" w:line="240" w:lineRule="auto"/>
    </w:pPr>
  </w:style>
  <w:style w:type="character" w:styleId="Hyperlink">
    <w:name w:val="Hyperlink"/>
    <w:basedOn w:val="DefaultParagraphFont"/>
    <w:uiPriority w:val="99"/>
    <w:semiHidden/>
    <w:unhideWhenUsed/>
    <w:rsid w:val="00B22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1295">
      <w:bodyDiv w:val="1"/>
      <w:marLeft w:val="0"/>
      <w:marRight w:val="0"/>
      <w:marTop w:val="0"/>
      <w:marBottom w:val="0"/>
      <w:divBdr>
        <w:top w:val="none" w:sz="0" w:space="0" w:color="auto"/>
        <w:left w:val="none" w:sz="0" w:space="0" w:color="auto"/>
        <w:bottom w:val="none" w:sz="0" w:space="0" w:color="auto"/>
        <w:right w:val="none" w:sz="0" w:space="0" w:color="auto"/>
      </w:divBdr>
    </w:div>
    <w:div w:id="896402497">
      <w:bodyDiv w:val="1"/>
      <w:marLeft w:val="0"/>
      <w:marRight w:val="0"/>
      <w:marTop w:val="0"/>
      <w:marBottom w:val="0"/>
      <w:divBdr>
        <w:top w:val="none" w:sz="0" w:space="0" w:color="auto"/>
        <w:left w:val="none" w:sz="0" w:space="0" w:color="auto"/>
        <w:bottom w:val="none" w:sz="0" w:space="0" w:color="auto"/>
        <w:right w:val="none" w:sz="0" w:space="0" w:color="auto"/>
      </w:divBdr>
      <w:divsChild>
        <w:div w:id="1350376972">
          <w:marLeft w:val="0"/>
          <w:marRight w:val="0"/>
          <w:marTop w:val="0"/>
          <w:marBottom w:val="225"/>
          <w:divBdr>
            <w:top w:val="none" w:sz="0" w:space="0" w:color="auto"/>
            <w:left w:val="none" w:sz="0" w:space="0" w:color="auto"/>
            <w:bottom w:val="none" w:sz="0" w:space="0" w:color="auto"/>
            <w:right w:val="none" w:sz="0" w:space="0" w:color="auto"/>
          </w:divBdr>
        </w:div>
      </w:divsChild>
    </w:div>
    <w:div w:id="13731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2024-07-02T01:54:00Z</dcterms:created>
  <dcterms:modified xsi:type="dcterms:W3CDTF">2024-07-12T02:18:00Z</dcterms:modified>
</cp:coreProperties>
</file>